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03" w:rsidRDefault="008D0B03" w:rsidP="008D0B03">
      <w:pPr>
        <w:ind w:left="-567" w:firstLine="567"/>
        <w:jc w:val="center"/>
      </w:pPr>
    </w:p>
    <w:p w:rsidR="00147B83" w:rsidRDefault="00147B83" w:rsidP="00147B83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495800" cy="866775"/>
            <wp:effectExtent l="0" t="0" r="0" b="0"/>
            <wp:docPr id="2" name="Picture 2" descr="esf_es_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es_l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421957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</w:p>
    <w:p w:rsidR="008D0B03" w:rsidRDefault="008D0B03" w:rsidP="008D0B03">
      <w:pPr>
        <w:jc w:val="center"/>
        <w:outlineLvl w:val="0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Maija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Burima</w:t>
      </w:r>
      <w:proofErr w:type="spellEnd"/>
    </w:p>
    <w:p w:rsidR="008D0B03" w:rsidRDefault="008D0B03" w:rsidP="008D0B03">
      <w:pPr>
        <w:jc w:val="center"/>
        <w:outlineLvl w:val="0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Zanda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Gūtmane</w:t>
      </w:r>
      <w:proofErr w:type="spellEnd"/>
    </w:p>
    <w:p w:rsidR="00147B83" w:rsidRDefault="00147B83" w:rsidP="008D0B0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8D0B03" w:rsidRPr="00025ECF" w:rsidRDefault="008D0B03" w:rsidP="008D0B0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25ECF">
        <w:rPr>
          <w:rFonts w:ascii="Times New Roman" w:hAnsi="Times New Roman" w:cs="Times New Roman"/>
          <w:b/>
          <w:sz w:val="28"/>
          <w:szCs w:val="28"/>
          <w:lang w:val="lv-LV"/>
        </w:rPr>
        <w:t>Citātu kartotēka</w:t>
      </w:r>
    </w:p>
    <w:p w:rsidR="008D0B03" w:rsidRDefault="008D0B03" w:rsidP="008D0B03">
      <w:pPr>
        <w:pStyle w:val="NormalWeb"/>
        <w:jc w:val="center"/>
      </w:pPr>
      <w:proofErr w:type="spellStart"/>
      <w:proofErr w:type="gramStart"/>
      <w:r w:rsidRPr="00025ECF">
        <w:rPr>
          <w:b/>
          <w:i/>
          <w:sz w:val="28"/>
          <w:szCs w:val="28"/>
        </w:rPr>
        <w:t>Tomass</w:t>
      </w:r>
      <w:proofErr w:type="spellEnd"/>
      <w:r w:rsidRPr="00025ECF">
        <w:rPr>
          <w:b/>
          <w:i/>
          <w:sz w:val="28"/>
          <w:szCs w:val="28"/>
        </w:rPr>
        <w:t xml:space="preserve"> </w:t>
      </w:r>
      <w:proofErr w:type="spellStart"/>
      <w:r w:rsidRPr="00025ECF">
        <w:rPr>
          <w:b/>
          <w:i/>
          <w:sz w:val="28"/>
          <w:szCs w:val="28"/>
        </w:rPr>
        <w:t>Hillanns</w:t>
      </w:r>
      <w:proofErr w:type="spellEnd"/>
      <w:r w:rsidRPr="00025ECF">
        <w:rPr>
          <w:b/>
          <w:i/>
          <w:sz w:val="28"/>
          <w:szCs w:val="28"/>
        </w:rPr>
        <w:t xml:space="preserve"> ĒRIKSENS</w:t>
      </w:r>
      <w:r>
        <w:rPr>
          <w:b/>
          <w:i/>
          <w:sz w:val="28"/>
          <w:szCs w:val="28"/>
        </w:rPr>
        <w:t>.</w:t>
      </w:r>
      <w:proofErr w:type="gramEnd"/>
      <w:r w:rsidRPr="00025ECF">
        <w:rPr>
          <w:b/>
          <w:i/>
          <w:sz w:val="28"/>
          <w:szCs w:val="28"/>
        </w:rPr>
        <w:br/>
      </w:r>
      <w:r w:rsidRPr="00025ECF">
        <w:rPr>
          <w:b/>
          <w:i/>
          <w:sz w:val="28"/>
          <w:szCs w:val="28"/>
        </w:rPr>
        <w:br/>
        <w:t>MIRKĻA TIRĀNIJA</w:t>
      </w:r>
      <w:r w:rsidRPr="00025ECF">
        <w:rPr>
          <w:b/>
          <w:i/>
          <w:sz w:val="28"/>
          <w:szCs w:val="28"/>
        </w:rPr>
        <w:br/>
      </w:r>
      <w:proofErr w:type="spellStart"/>
      <w:r w:rsidRPr="00025ECF">
        <w:rPr>
          <w:b/>
          <w:i/>
          <w:sz w:val="28"/>
          <w:szCs w:val="28"/>
        </w:rPr>
        <w:t>straujš</w:t>
      </w:r>
      <w:proofErr w:type="spellEnd"/>
      <w:r w:rsidRPr="00025ECF">
        <w:rPr>
          <w:b/>
          <w:i/>
          <w:sz w:val="28"/>
          <w:szCs w:val="28"/>
        </w:rPr>
        <w:t xml:space="preserve"> </w:t>
      </w:r>
      <w:proofErr w:type="gramStart"/>
      <w:r w:rsidRPr="00025ECF">
        <w:rPr>
          <w:b/>
          <w:i/>
          <w:sz w:val="28"/>
          <w:szCs w:val="28"/>
        </w:rPr>
        <w:t>un</w:t>
      </w:r>
      <w:proofErr w:type="gramEnd"/>
      <w:r w:rsidRPr="00025ECF">
        <w:rPr>
          <w:b/>
          <w:i/>
          <w:sz w:val="28"/>
          <w:szCs w:val="28"/>
        </w:rPr>
        <w:t xml:space="preserve"> gauss </w:t>
      </w:r>
      <w:proofErr w:type="spellStart"/>
      <w:r w:rsidRPr="00025ECF">
        <w:rPr>
          <w:b/>
          <w:i/>
          <w:sz w:val="28"/>
          <w:szCs w:val="28"/>
        </w:rPr>
        <w:t>laiks</w:t>
      </w:r>
      <w:proofErr w:type="spellEnd"/>
      <w:r w:rsidRPr="00025ECF">
        <w:rPr>
          <w:b/>
          <w:i/>
          <w:sz w:val="28"/>
          <w:szCs w:val="28"/>
        </w:rPr>
        <w:t xml:space="preserve"> </w:t>
      </w:r>
      <w:proofErr w:type="spellStart"/>
      <w:r w:rsidRPr="00025ECF">
        <w:rPr>
          <w:b/>
          <w:i/>
          <w:sz w:val="28"/>
          <w:szCs w:val="28"/>
        </w:rPr>
        <w:t>informācijas</w:t>
      </w:r>
      <w:proofErr w:type="spellEnd"/>
      <w:r w:rsidRPr="00025ECF">
        <w:rPr>
          <w:b/>
          <w:i/>
          <w:sz w:val="28"/>
          <w:szCs w:val="28"/>
        </w:rPr>
        <w:t xml:space="preserve"> </w:t>
      </w:r>
      <w:proofErr w:type="spellStart"/>
      <w:r w:rsidRPr="00025ECF">
        <w:rPr>
          <w:b/>
          <w:i/>
          <w:sz w:val="28"/>
          <w:szCs w:val="28"/>
        </w:rPr>
        <w:t>sabiedrībā</w:t>
      </w:r>
      <w:proofErr w:type="spellEnd"/>
      <w:r>
        <w:rPr>
          <w:b/>
          <w:i/>
          <w:sz w:val="28"/>
          <w:szCs w:val="28"/>
        </w:rPr>
        <w:t>.</w:t>
      </w:r>
      <w:r w:rsidRPr="00025ECF">
        <w:rPr>
          <w:b/>
          <w:i/>
          <w:sz w:val="28"/>
          <w:szCs w:val="28"/>
        </w:rPr>
        <w:br/>
      </w:r>
      <w:proofErr w:type="spellStart"/>
      <w:proofErr w:type="gramStart"/>
      <w:r w:rsidRPr="00025ECF">
        <w:rPr>
          <w:b/>
          <w:i/>
          <w:sz w:val="28"/>
          <w:szCs w:val="28"/>
        </w:rPr>
        <w:t>Rīga</w:t>
      </w:r>
      <w:proofErr w:type="spellEnd"/>
      <w:r w:rsidRPr="00025ECF">
        <w:rPr>
          <w:b/>
          <w:i/>
          <w:sz w:val="28"/>
          <w:szCs w:val="28"/>
        </w:rPr>
        <w:t xml:space="preserve">, </w:t>
      </w:r>
      <w:proofErr w:type="spellStart"/>
      <w:r w:rsidRPr="00025ECF">
        <w:rPr>
          <w:b/>
          <w:i/>
          <w:sz w:val="28"/>
          <w:szCs w:val="28"/>
        </w:rPr>
        <w:t>Norden</w:t>
      </w:r>
      <w:proofErr w:type="spellEnd"/>
      <w:r w:rsidRPr="00025ECF">
        <w:rPr>
          <w:b/>
          <w:i/>
          <w:sz w:val="28"/>
          <w:szCs w:val="28"/>
        </w:rPr>
        <w:t xml:space="preserve"> AB, 2004.</w:t>
      </w:r>
      <w:proofErr w:type="gramEnd"/>
      <w:r w:rsidRPr="00025ECF">
        <w:rPr>
          <w:b/>
          <w:i/>
          <w:sz w:val="28"/>
          <w:szCs w:val="28"/>
        </w:rPr>
        <w:br/>
      </w:r>
    </w:p>
    <w:p w:rsidR="008D0B03" w:rsidRDefault="008D0B03" w:rsidP="008D0B03">
      <w:pPr>
        <w:pStyle w:val="NormalWeb"/>
        <w:jc w:val="center"/>
      </w:pPr>
      <w:proofErr w:type="spellStart"/>
      <w:proofErr w:type="gramStart"/>
      <w:r>
        <w:t>Materiāls</w:t>
      </w:r>
      <w:proofErr w:type="spellEnd"/>
      <w:r>
        <w:t xml:space="preserve"> </w:t>
      </w:r>
      <w:proofErr w:type="spellStart"/>
      <w:r>
        <w:t>izstrādāts</w:t>
      </w:r>
      <w:proofErr w:type="spellEnd"/>
      <w:r>
        <w:t xml:space="preserve"> </w:t>
      </w:r>
      <w:r>
        <w:br/>
        <w:t xml:space="preserve">ESF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2007.</w:t>
      </w:r>
      <w:proofErr w:type="gramEnd"/>
      <w:r>
        <w:t xml:space="preserve"> </w:t>
      </w:r>
      <w:proofErr w:type="gramStart"/>
      <w:r>
        <w:t>- 2013.gadam „</w:t>
      </w:r>
      <w:proofErr w:type="spellStart"/>
      <w:r>
        <w:t>Cilvēkresursi</w:t>
      </w:r>
      <w:proofErr w:type="spellEnd"/>
      <w:r>
        <w:t xml:space="preserve"> un </w:t>
      </w:r>
      <w:proofErr w:type="spellStart"/>
      <w:r>
        <w:t>nodarbinātība</w:t>
      </w:r>
      <w:proofErr w:type="spellEnd"/>
      <w:r>
        <w:t xml:space="preserve">” </w:t>
      </w:r>
      <w:r>
        <w:br/>
      </w:r>
      <w:proofErr w:type="spellStart"/>
      <w:r>
        <w:t>prioritātes</w:t>
      </w:r>
      <w:proofErr w:type="spellEnd"/>
      <w:r>
        <w:t xml:space="preserve"> 1.2.</w:t>
      </w:r>
      <w:proofErr w:type="gramEnd"/>
      <w:r>
        <w:t xml:space="preserve"> „</w:t>
      </w:r>
      <w:proofErr w:type="spellStart"/>
      <w:r>
        <w:t>Izglītība</w:t>
      </w:r>
      <w:proofErr w:type="spellEnd"/>
      <w:r>
        <w:t xml:space="preserve"> un </w:t>
      </w:r>
      <w:proofErr w:type="spellStart"/>
      <w:r>
        <w:t>prasmes</w:t>
      </w:r>
      <w:proofErr w:type="spellEnd"/>
      <w:r>
        <w:t>”</w:t>
      </w:r>
      <w:r>
        <w:br/>
      </w:r>
      <w:proofErr w:type="spellStart"/>
      <w:r>
        <w:t>pasākuma</w:t>
      </w:r>
      <w:proofErr w:type="spellEnd"/>
      <w:r>
        <w:t xml:space="preserve"> 1.2.1</w:t>
      </w:r>
      <w:proofErr w:type="gramStart"/>
      <w:r>
        <w:t xml:space="preserve">.„Profesionālās </w:t>
      </w:r>
      <w:proofErr w:type="spellStart"/>
      <w:r>
        <w:t>izglītības</w:t>
      </w:r>
      <w:proofErr w:type="spellEnd"/>
      <w:r>
        <w:t xml:space="preserve"> un 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attīstība</w:t>
      </w:r>
      <w:proofErr w:type="spellEnd"/>
      <w:r>
        <w:t xml:space="preserve">” </w:t>
      </w:r>
      <w:r>
        <w:br/>
      </w:r>
      <w:proofErr w:type="spellStart"/>
      <w:r>
        <w:t>aktivitātes</w:t>
      </w:r>
      <w:proofErr w:type="spellEnd"/>
      <w:r>
        <w:t xml:space="preserve"> 1.2.1.2.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zināšanu</w:t>
      </w:r>
      <w:proofErr w:type="spellEnd"/>
      <w:r>
        <w:t xml:space="preserve"> un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uzlabošana</w:t>
      </w:r>
      <w:proofErr w:type="spellEnd"/>
      <w:r>
        <w:t xml:space="preserve">” </w:t>
      </w:r>
      <w:r>
        <w:br/>
      </w:r>
      <w:proofErr w:type="spellStart"/>
      <w:r>
        <w:t>apakšaktivitātes</w:t>
      </w:r>
      <w:proofErr w:type="spellEnd"/>
      <w:r>
        <w:t xml:space="preserve"> 1.2.1.1.2.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Profesionālajā</w:t>
      </w:r>
      <w:proofErr w:type="spellEnd"/>
      <w:r>
        <w:t xml:space="preserve"> </w:t>
      </w:r>
      <w:proofErr w:type="spellStart"/>
      <w:r>
        <w:t>izglītībā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pedagogu</w:t>
      </w:r>
      <w:proofErr w:type="spellEnd"/>
      <w:r>
        <w:t xml:space="preserve"> </w:t>
      </w:r>
      <w:r>
        <w:br/>
      </w:r>
      <w:proofErr w:type="spellStart"/>
      <w:r>
        <w:t>kompetences</w:t>
      </w:r>
      <w:proofErr w:type="spellEnd"/>
      <w:r>
        <w:t xml:space="preserve"> </w:t>
      </w:r>
      <w:proofErr w:type="spellStart"/>
      <w:r>
        <w:t>paaugstināšana</w:t>
      </w:r>
      <w:proofErr w:type="spellEnd"/>
      <w:r>
        <w:t xml:space="preserve">” </w:t>
      </w:r>
      <w:r>
        <w:br/>
      </w:r>
      <w:proofErr w:type="spellStart"/>
      <w:r>
        <w:rPr>
          <w:b/>
          <w:bCs/>
        </w:rPr>
        <w:t>Latvijas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Universitātes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realizētā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„</w:t>
      </w:r>
      <w:proofErr w:type="spellStart"/>
      <w:r>
        <w:rPr>
          <w:b/>
          <w:bCs/>
        </w:rPr>
        <w:t>Profesionālajā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izglītībā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iesaistīto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vispārizglītojošo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mācību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priekšmetu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pedagogu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r>
        <w:rPr>
          <w:b/>
          <w:bCs/>
        </w:rPr>
        <w:t>kompetences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paaugstināšana</w:t>
      </w:r>
      <w:proofErr w:type="spellEnd"/>
      <w:r>
        <w:rPr>
          <w:b/>
          <w:bCs/>
        </w:rPr>
        <w:t xml:space="preserve">” </w:t>
      </w:r>
      <w:r>
        <w:rPr>
          <w:b/>
          <w:bCs/>
        </w:rPr>
        <w:br/>
      </w:r>
      <w:r>
        <w:t>(</w:t>
      </w:r>
      <w:proofErr w:type="spellStart"/>
      <w:r>
        <w:t>Vienošanās</w:t>
      </w:r>
      <w:proofErr w:type="spellEnd"/>
      <w:r>
        <w:t xml:space="preserve"> Nr.2009/0274/1DP/1.2.1.1.2/09/IPIA/VIAA/003, </w:t>
      </w:r>
      <w:r>
        <w:br/>
        <w:t xml:space="preserve">LU </w:t>
      </w:r>
      <w:proofErr w:type="spellStart"/>
      <w:r>
        <w:t>reģistrācijas</w:t>
      </w:r>
      <w:proofErr w:type="spellEnd"/>
      <w:r>
        <w:t xml:space="preserve"> Nr.ESS2009/88) </w:t>
      </w:r>
      <w:proofErr w:type="spellStart"/>
      <w:r>
        <w:t>īstenošanai</w:t>
      </w:r>
      <w:proofErr w:type="spellEnd"/>
      <w:r>
        <w:t>.</w:t>
      </w:r>
      <w:proofErr w:type="gramEnd"/>
    </w:p>
    <w:p w:rsidR="008D0B03" w:rsidRDefault="008D0B03" w:rsidP="008D0B03">
      <w:pPr>
        <w:pStyle w:val="NormalWeb"/>
      </w:pPr>
    </w:p>
    <w:p w:rsidR="008D0B03" w:rsidRDefault="008D0B03" w:rsidP="008D0B03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Rīga</w:t>
      </w:r>
      <w:proofErr w:type="spellEnd"/>
      <w:r>
        <w:rPr>
          <w:b/>
          <w:bCs/>
        </w:rPr>
        <w:t xml:space="preserve"> 2011 </w:t>
      </w:r>
    </w:p>
    <w:p w:rsidR="00127254" w:rsidRPr="00127254" w:rsidRDefault="00147B83" w:rsidP="00127254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sz w:val="28"/>
          <w:szCs w:val="28"/>
          <w:lang w:eastAsia="zh-TW"/>
        </w:rPr>
        <w:lastRenderedPageBreak/>
        <w:pict>
          <v:rect id="_x0000_s1026" style="position:absolute;left:0;text-align:left;margin-left:1551.9pt;margin-top:0;width:214.15pt;height:9in;flip:x;z-index:251660288;mso-width-percent:350;mso-height-percent:1000;mso-wrap-distance-top:7.2pt;mso-wrap-distance-bottom:7.2pt;mso-position-horizontal:outside;mso-position-horizontal-relative:page;mso-position-vertical:center;mso-position-vertical-relative:page;mso-width-percent:350;mso-height-percent:1000;mso-height-relative:margin" o:allowincell="f" fillcolor="#4f81bd [3204]" strokecolor="#f2f2f2 [3041]" strokeweight="3pt">
            <v:shadow on="t" type="perspective" color="#243f60 [1604]" opacity=".5" offset="1pt" offset2="-1pt"/>
            <v:textbox style="mso-next-textbox:#_x0000_s1026" inset="21.6pt,21.6pt,21.6pt,21.6pt">
              <w:txbxContent>
                <w:p w:rsidR="00127254" w:rsidRDefault="00127254" w:rsidP="00127254">
                  <w:pPr>
                    <w:rPr>
                      <w:i/>
                      <w:color w:val="FFFFFF" w:themeColor="background1"/>
                      <w:sz w:val="28"/>
                      <w:szCs w:val="28"/>
                    </w:rPr>
                  </w:pPr>
                </w:p>
                <w:p w:rsidR="00127254" w:rsidRDefault="00127254" w:rsidP="00127254">
                  <w:pPr>
                    <w:rPr>
                      <w:i/>
                      <w:color w:val="FFFFFF" w:themeColor="background1"/>
                      <w:sz w:val="28"/>
                      <w:szCs w:val="28"/>
                    </w:rPr>
                  </w:pPr>
                </w:p>
                <w:p w:rsidR="00127254" w:rsidRPr="00127254" w:rsidRDefault="00127254" w:rsidP="00127254">
                  <w:pPr>
                    <w:rPr>
                      <w:i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Citātu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kartotēka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izmantojama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rosinot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diskusijas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grupu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darbu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vai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radošos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rakstu</w:t>
                  </w:r>
                  <w:proofErr w:type="spellEnd"/>
                  <w:r w:rsidR="00570F4D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70F4D">
                    <w:rPr>
                      <w:i/>
                      <w:color w:val="FFFFFF" w:themeColor="background1"/>
                      <w:sz w:val="28"/>
                      <w:szCs w:val="28"/>
                    </w:rPr>
                    <w:t>darbus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par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laika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tēlojumiem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jaunākajā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latviešu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literatūrā</w:t>
                  </w:r>
                  <w:proofErr w:type="spellEnd"/>
                  <w:r w:rsidRPr="00127254">
                    <w:rPr>
                      <w:i/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square" anchorx="page" anchory="page"/>
          </v:rect>
        </w:pic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127254">
        <w:rPr>
          <w:rFonts w:ascii="Times New Roman" w:hAnsi="Times New Roman" w:cs="Times New Roman"/>
        </w:rPr>
        <w:t>Lielākā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meistarība</w:t>
      </w:r>
      <w:proofErr w:type="spellEnd"/>
      <w:r w:rsidRPr="00127254">
        <w:rPr>
          <w:rFonts w:ascii="Times New Roman" w:hAnsi="Times New Roman" w:cs="Times New Roman"/>
        </w:rPr>
        <w:t xml:space="preserve"> - </w:t>
      </w:r>
      <w:proofErr w:type="spellStart"/>
      <w:r w:rsidRPr="00127254">
        <w:rPr>
          <w:rFonts w:ascii="Times New Roman" w:hAnsi="Times New Roman" w:cs="Times New Roman"/>
        </w:rPr>
        <w:t>pasargāt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sevi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r>
        <w:rPr>
          <w:rFonts w:ascii="Times New Roman" w:hAnsi="Times New Roman" w:cs="Times New Roman"/>
        </w:rPr>
        <w:t>99</w:t>
      </w:r>
      <w:proofErr w:type="gramStart"/>
      <w:r>
        <w:rPr>
          <w:rFonts w:ascii="Times New Roman" w:hAnsi="Times New Roman" w:cs="Times New Roman"/>
        </w:rPr>
        <w:t>,99</w:t>
      </w:r>
      <w:proofErr w:type="gramEnd"/>
      <w:r>
        <w:rPr>
          <w:rFonts w:ascii="Times New Roman" w:hAnsi="Times New Roman" w:cs="Times New Roman"/>
        </w:rPr>
        <w:t xml:space="preserve">% </w:t>
      </w:r>
      <w:proofErr w:type="spellStart"/>
      <w:r>
        <w:rPr>
          <w:rFonts w:ascii="Times New Roman" w:hAnsi="Times New Roman" w:cs="Times New Roman"/>
        </w:rPr>
        <w:t>piedāvātās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informācijas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27254">
        <w:rPr>
          <w:rFonts w:ascii="Times New Roman" w:hAnsi="Times New Roman" w:cs="Times New Roman"/>
        </w:rPr>
        <w:t xml:space="preserve">un, </w:t>
      </w:r>
      <w:proofErr w:type="spellStart"/>
      <w:r w:rsidRPr="00127254">
        <w:rPr>
          <w:rFonts w:ascii="Times New Roman" w:hAnsi="Times New Roman" w:cs="Times New Roman"/>
        </w:rPr>
        <w:t>prota</w:t>
      </w:r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pilnvērtīgi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izmantot</w:t>
      </w:r>
      <w:proofErr w:type="spellEnd"/>
      <w:r>
        <w:rPr>
          <w:rFonts w:ascii="Times New Roman" w:hAnsi="Times New Roman" w:cs="Times New Roman"/>
        </w:rPr>
        <w:t xml:space="preserve"> 0,01%.”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r w:rsidRPr="00127254">
        <w:rPr>
          <w:rFonts w:ascii="Times New Roman" w:hAnsi="Times New Roman" w:cs="Times New Roman"/>
        </w:rPr>
        <w:t xml:space="preserve">(30. </w:t>
      </w:r>
      <w:proofErr w:type="spellStart"/>
      <w:proofErr w:type="gramStart"/>
      <w:r w:rsidRPr="00127254">
        <w:rPr>
          <w:rFonts w:ascii="Times New Roman" w:hAnsi="Times New Roman" w:cs="Times New Roman"/>
        </w:rPr>
        <w:t>lpp</w:t>
      </w:r>
      <w:proofErr w:type="spellEnd"/>
      <w:proofErr w:type="gramEnd"/>
      <w:r w:rsidRPr="00127254">
        <w:rPr>
          <w:rFonts w:ascii="Times New Roman" w:hAnsi="Times New Roman" w:cs="Times New Roman"/>
        </w:rPr>
        <w:t>.)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“</w:t>
      </w:r>
      <w:proofErr w:type="spellStart"/>
      <w:r w:rsidRPr="00127254">
        <w:rPr>
          <w:rFonts w:ascii="Times New Roman" w:hAnsi="Times New Roman" w:cs="Times New Roman"/>
        </w:rPr>
        <w:t>Laiks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kļūst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saspringtāks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gramStart"/>
      <w:r w:rsidRPr="00127254">
        <w:rPr>
          <w:rFonts w:ascii="Times New Roman" w:hAnsi="Times New Roman" w:cs="Times New Roman"/>
        </w:rPr>
        <w:t xml:space="preserve">Visas </w:t>
      </w:r>
      <w:proofErr w:type="spellStart"/>
      <w:r w:rsidRPr="00127254">
        <w:rPr>
          <w:rFonts w:ascii="Times New Roman" w:hAnsi="Times New Roman" w:cs="Times New Roman"/>
        </w:rPr>
        <w:t>spraugas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tiek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piepildītas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Visa </w:t>
      </w:r>
      <w:proofErr w:type="spellStart"/>
      <w:r w:rsidRPr="00127254">
        <w:rPr>
          <w:rFonts w:ascii="Times New Roman" w:hAnsi="Times New Roman" w:cs="Times New Roman"/>
        </w:rPr>
        <w:t>kā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kļūst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arvien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vairāk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gramStart"/>
      <w:r w:rsidRPr="00127254">
        <w:rPr>
          <w:rFonts w:ascii="Times New Roman" w:hAnsi="Times New Roman" w:cs="Times New Roman"/>
        </w:rPr>
        <w:t>un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šādā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situācijā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īpašu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mierinājumu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dod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atziņa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ietaupām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sekundes</w:t>
      </w:r>
      <w:proofErr w:type="spellEnd"/>
      <w:r w:rsidRPr="00127254">
        <w:rPr>
          <w:rFonts w:ascii="Times New Roman" w:hAnsi="Times New Roman" w:cs="Times New Roman"/>
        </w:rPr>
        <w:t xml:space="preserve"> (</w:t>
      </w:r>
      <w:proofErr w:type="spellStart"/>
      <w:r w:rsidRPr="00127254">
        <w:rPr>
          <w:rFonts w:ascii="Times New Roman" w:hAnsi="Times New Roman" w:cs="Times New Roman"/>
        </w:rPr>
        <w:t>piemēram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braucot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liftu</w:t>
      </w:r>
      <w:proofErr w:type="spellEnd"/>
      <w:r w:rsidRPr="00127254">
        <w:rPr>
          <w:rFonts w:ascii="Times New Roman" w:hAnsi="Times New Roman" w:cs="Times New Roman"/>
        </w:rPr>
        <w:t xml:space="preserve">) </w:t>
      </w:r>
      <w:proofErr w:type="spellStart"/>
      <w:r w:rsidRPr="00127254">
        <w:rPr>
          <w:rFonts w:ascii="Times New Roman" w:hAnsi="Times New Roman" w:cs="Times New Roman"/>
        </w:rPr>
        <w:t>vai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saņemam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balvu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vienu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stundu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ja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pēkšņi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tiek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atcelta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sanāksme</w:t>
      </w:r>
      <w:proofErr w:type="spellEnd"/>
      <w:r w:rsidRPr="00127254">
        <w:rPr>
          <w:rFonts w:ascii="Times New Roman" w:hAnsi="Times New Roman" w:cs="Times New Roman"/>
        </w:rPr>
        <w:t xml:space="preserve">. [..] </w:t>
      </w:r>
      <w:proofErr w:type="spellStart"/>
      <w:r w:rsidRPr="00127254">
        <w:rPr>
          <w:rFonts w:ascii="Times New Roman" w:hAnsi="Times New Roman" w:cs="Times New Roman"/>
        </w:rPr>
        <w:t>Visi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saistīti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7254">
        <w:rPr>
          <w:rFonts w:ascii="Times New Roman" w:hAnsi="Times New Roman" w:cs="Times New Roman"/>
        </w:rPr>
        <w:t>informāciju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 xml:space="preserve"> –</w:t>
      </w:r>
      <w:proofErr w:type="gramEnd"/>
      <w:r w:rsidR="00570F4D">
        <w:rPr>
          <w:rFonts w:ascii="Times New Roman" w:hAnsi="Times New Roman" w:cs="Times New Roman"/>
        </w:rPr>
        <w:t xml:space="preserve"> </w:t>
      </w:r>
      <w:r w:rsidRPr="00127254">
        <w:rPr>
          <w:rFonts w:ascii="Times New Roman" w:hAnsi="Times New Roman" w:cs="Times New Roman"/>
        </w:rPr>
        <w:t xml:space="preserve">no </w:t>
      </w:r>
      <w:proofErr w:type="spellStart"/>
      <w:r w:rsidRPr="00127254">
        <w:rPr>
          <w:rFonts w:ascii="Times New Roman" w:hAnsi="Times New Roman" w:cs="Times New Roman"/>
        </w:rPr>
        <w:t>diktoriem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kuri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nolasa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laika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ziņas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līdz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profesoriem</w:t>
      </w:r>
      <w:proofErr w:type="spellEnd"/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cīnās</w:t>
      </w:r>
      <w:proofErr w:type="spellEnd"/>
      <w:r w:rsidRPr="00127254">
        <w:rPr>
          <w:rFonts w:ascii="Times New Roman" w:hAnsi="Times New Roman" w:cs="Times New Roman"/>
        </w:rPr>
        <w:t xml:space="preserve"> par </w:t>
      </w:r>
      <w:proofErr w:type="spellStart"/>
      <w:r w:rsidRPr="00127254">
        <w:rPr>
          <w:rFonts w:ascii="Times New Roman" w:hAnsi="Times New Roman" w:cs="Times New Roman"/>
        </w:rPr>
        <w:t>sekundēm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minūtēm</w:t>
      </w:r>
      <w:proofErr w:type="spellEnd"/>
      <w:r w:rsidRPr="00127254">
        <w:rPr>
          <w:rFonts w:ascii="Times New Roman" w:hAnsi="Times New Roman" w:cs="Times New Roman"/>
        </w:rPr>
        <w:t xml:space="preserve"> un </w:t>
      </w:r>
      <w:proofErr w:type="spellStart"/>
      <w:r w:rsidRPr="00127254">
        <w:rPr>
          <w:rFonts w:ascii="Times New Roman" w:hAnsi="Times New Roman" w:cs="Times New Roman"/>
        </w:rPr>
        <w:t>stundām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cilvēku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dzīvē</w:t>
      </w:r>
      <w:proofErr w:type="spellEnd"/>
      <w:r w:rsidRPr="0012725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27254">
        <w:rPr>
          <w:rFonts w:ascii="Times New Roman" w:hAnsi="Times New Roman" w:cs="Times New Roman"/>
        </w:rPr>
        <w:t>Atšķirībā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fiziskiem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priekšmetiem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informācijas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nekļūst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mazāk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kad</w:t>
      </w:r>
      <w:proofErr w:type="spellEnd"/>
      <w:r w:rsidRPr="00127254">
        <w:rPr>
          <w:rFonts w:ascii="Times New Roman" w:hAnsi="Times New Roman" w:cs="Times New Roman"/>
        </w:rPr>
        <w:t xml:space="preserve"> to </w:t>
      </w:r>
      <w:proofErr w:type="spellStart"/>
      <w:r w:rsidRPr="00127254">
        <w:rPr>
          <w:rFonts w:ascii="Times New Roman" w:hAnsi="Times New Roman" w:cs="Times New Roman"/>
        </w:rPr>
        <w:t>pārdod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citiem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Cilvēkam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informācija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viņš</w:t>
      </w:r>
      <w:proofErr w:type="spellEnd"/>
      <w:r w:rsidRPr="00127254">
        <w:rPr>
          <w:rFonts w:ascii="Times New Roman" w:hAnsi="Times New Roman" w:cs="Times New Roman"/>
        </w:rPr>
        <w:t xml:space="preserve"> to </w:t>
      </w:r>
      <w:proofErr w:type="spellStart"/>
      <w:r w:rsidRPr="00127254">
        <w:rPr>
          <w:rFonts w:ascii="Times New Roman" w:hAnsi="Times New Roman" w:cs="Times New Roman"/>
        </w:rPr>
        <w:t>atdod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citiem</w:t>
      </w:r>
      <w:proofErr w:type="spellEnd"/>
      <w:r w:rsidRPr="00127254">
        <w:rPr>
          <w:rFonts w:ascii="Times New Roman" w:hAnsi="Times New Roman" w:cs="Times New Roman"/>
        </w:rPr>
        <w:t xml:space="preserve">, bet </w:t>
      </w:r>
      <w:proofErr w:type="spellStart"/>
      <w:r w:rsidRPr="00127254">
        <w:rPr>
          <w:rFonts w:ascii="Times New Roman" w:hAnsi="Times New Roman" w:cs="Times New Roman"/>
        </w:rPr>
        <w:t>tās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nekļūst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mazāk</w:t>
      </w:r>
      <w:proofErr w:type="spellEnd"/>
      <w:r w:rsidRPr="001272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r w:rsidRPr="00127254">
        <w:rPr>
          <w:rFonts w:ascii="Times New Roman" w:hAnsi="Times New Roman" w:cs="Times New Roman"/>
        </w:rPr>
        <w:t xml:space="preserve">(35. </w:t>
      </w:r>
      <w:proofErr w:type="spellStart"/>
      <w:proofErr w:type="gramStart"/>
      <w:r w:rsidRPr="00127254">
        <w:rPr>
          <w:rFonts w:ascii="Times New Roman" w:hAnsi="Times New Roman" w:cs="Times New Roman"/>
        </w:rPr>
        <w:t>lpp</w:t>
      </w:r>
      <w:proofErr w:type="spellEnd"/>
      <w:proofErr w:type="gramEnd"/>
      <w:r w:rsidRPr="00127254">
        <w:rPr>
          <w:rFonts w:ascii="Times New Roman" w:hAnsi="Times New Roman" w:cs="Times New Roman"/>
        </w:rPr>
        <w:t>.)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127254">
        <w:rPr>
          <w:rFonts w:ascii="Times New Roman" w:hAnsi="Times New Roman" w:cs="Times New Roman"/>
        </w:rPr>
        <w:t>Mūsdienu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sabiedrībā</w:t>
      </w:r>
      <w:proofErr w:type="spellEnd"/>
      <w:r w:rsidRPr="00127254">
        <w:rPr>
          <w:rFonts w:ascii="Times New Roman" w:hAnsi="Times New Roman" w:cs="Times New Roman"/>
        </w:rPr>
        <w:t xml:space="preserve"> (</w:t>
      </w:r>
      <w:proofErr w:type="spellStart"/>
      <w:r w:rsidRPr="00127254">
        <w:rPr>
          <w:rFonts w:ascii="Times New Roman" w:hAnsi="Times New Roman" w:cs="Times New Roman"/>
        </w:rPr>
        <w:t>mēs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bieži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tiekam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saukti</w:t>
      </w:r>
      <w:proofErr w:type="spellEnd"/>
      <w:r w:rsidRPr="00127254">
        <w:rPr>
          <w:rFonts w:ascii="Times New Roman" w:hAnsi="Times New Roman" w:cs="Times New Roman"/>
        </w:rPr>
        <w:t xml:space="preserve"> par "</w:t>
      </w:r>
      <w:proofErr w:type="spellStart"/>
      <w:r w:rsidRPr="00127254">
        <w:rPr>
          <w:rFonts w:ascii="Times New Roman" w:hAnsi="Times New Roman" w:cs="Times New Roman"/>
        </w:rPr>
        <w:t>klientiem</w:t>
      </w:r>
      <w:proofErr w:type="spellEnd"/>
      <w:r w:rsidRPr="00127254">
        <w:rPr>
          <w:rFonts w:ascii="Times New Roman" w:hAnsi="Times New Roman" w:cs="Times New Roman"/>
        </w:rPr>
        <w:t xml:space="preserve">") </w:t>
      </w:r>
      <w:proofErr w:type="spellStart"/>
      <w:r w:rsidRPr="00127254">
        <w:rPr>
          <w:rFonts w:ascii="Times New Roman" w:hAnsi="Times New Roman" w:cs="Times New Roman"/>
        </w:rPr>
        <w:t>lielākais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deficīts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kontrole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pār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indivīda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laiku</w:t>
      </w:r>
      <w:proofErr w:type="spellEnd"/>
      <w:r w:rsidRPr="00127254">
        <w:rPr>
          <w:rFonts w:ascii="Times New Roman" w:hAnsi="Times New Roman" w:cs="Times New Roman"/>
        </w:rPr>
        <w:t xml:space="preserve"> [</w:t>
      </w:r>
      <w:proofErr w:type="gramStart"/>
      <w:r w:rsidRPr="00127254">
        <w:rPr>
          <w:rFonts w:ascii="Times New Roman" w:hAnsi="Times New Roman" w:cs="Times New Roman"/>
        </w:rPr>
        <w:t>..]</w:t>
      </w:r>
      <w:proofErr w:type="gramEnd"/>
      <w:r w:rsidRPr="00127254">
        <w:rPr>
          <w:rFonts w:ascii="Times New Roman" w:hAnsi="Times New Roman" w:cs="Times New Roman"/>
        </w:rPr>
        <w:t xml:space="preserve">. </w:t>
      </w:r>
      <w:proofErr w:type="spellStart"/>
      <w:r w:rsidRPr="00127254">
        <w:rPr>
          <w:rFonts w:ascii="Times New Roman" w:hAnsi="Times New Roman" w:cs="Times New Roman"/>
        </w:rPr>
        <w:t>Informācija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iespiežas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cilvēkos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ārpuses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tā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agresīva</w:t>
      </w:r>
      <w:proofErr w:type="spellEnd"/>
      <w:r w:rsidRPr="00127254">
        <w:rPr>
          <w:rFonts w:ascii="Times New Roman" w:hAnsi="Times New Roman" w:cs="Times New Roman"/>
        </w:rPr>
        <w:t xml:space="preserve">, un no </w:t>
      </w:r>
      <w:proofErr w:type="spellStart"/>
      <w:r w:rsidRPr="00127254">
        <w:rPr>
          <w:rFonts w:ascii="Times New Roman" w:hAnsi="Times New Roman" w:cs="Times New Roman"/>
        </w:rPr>
        <w:t>tās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grūtāk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atturēties</w:t>
      </w:r>
      <w:proofErr w:type="spellEnd"/>
      <w:r w:rsidRPr="00127254">
        <w:rPr>
          <w:rFonts w:ascii="Times New Roman" w:hAnsi="Times New Roman" w:cs="Times New Roman"/>
        </w:rPr>
        <w:t xml:space="preserve"> [</w:t>
      </w:r>
      <w:proofErr w:type="gramStart"/>
      <w:r w:rsidRPr="00127254">
        <w:rPr>
          <w:rFonts w:ascii="Times New Roman" w:hAnsi="Times New Roman" w:cs="Times New Roman"/>
        </w:rPr>
        <w:t>..]</w:t>
      </w:r>
      <w:proofErr w:type="gramEnd"/>
      <w:r w:rsidRPr="0012725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27254">
        <w:rPr>
          <w:rFonts w:ascii="Times New Roman" w:hAnsi="Times New Roman" w:cs="Times New Roman"/>
        </w:rPr>
        <w:t>Informācijas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aizvien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vairāk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nekā</w:t>
      </w:r>
      <w:proofErr w:type="spellEnd"/>
      <w:r w:rsidRPr="00127254">
        <w:rPr>
          <w:rFonts w:ascii="Times New Roman" w:hAnsi="Times New Roman" w:cs="Times New Roman"/>
        </w:rPr>
        <w:t xml:space="preserve"> to </w:t>
      </w:r>
      <w:proofErr w:type="spellStart"/>
      <w:r w:rsidRPr="00127254">
        <w:rPr>
          <w:rFonts w:ascii="Times New Roman" w:hAnsi="Times New Roman" w:cs="Times New Roman"/>
        </w:rPr>
        <w:t>iespējams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pārdot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7254">
        <w:rPr>
          <w:rFonts w:ascii="Times New Roman" w:hAnsi="Times New Roman" w:cs="Times New Roman"/>
        </w:rPr>
        <w:t>Cīņa</w:t>
      </w:r>
      <w:proofErr w:type="spellEnd"/>
      <w:r w:rsidRPr="00127254">
        <w:rPr>
          <w:rFonts w:ascii="Times New Roman" w:hAnsi="Times New Roman" w:cs="Times New Roman"/>
        </w:rPr>
        <w:t xml:space="preserve"> par </w:t>
      </w:r>
      <w:proofErr w:type="spellStart"/>
      <w:r w:rsidRPr="00127254">
        <w:rPr>
          <w:rFonts w:ascii="Times New Roman" w:hAnsi="Times New Roman" w:cs="Times New Roman"/>
        </w:rPr>
        <w:t>brīvajām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sekundēm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norit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pilnā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sparā</w:t>
      </w:r>
      <w:proofErr w:type="spellEnd"/>
      <w:r w:rsidRPr="001272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  <w:proofErr w:type="gramEnd"/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r w:rsidRPr="00127254">
        <w:rPr>
          <w:rFonts w:ascii="Times New Roman" w:hAnsi="Times New Roman" w:cs="Times New Roman"/>
        </w:rPr>
        <w:t xml:space="preserve">(36. </w:t>
      </w:r>
      <w:proofErr w:type="spellStart"/>
      <w:proofErr w:type="gramStart"/>
      <w:r w:rsidRPr="00127254">
        <w:rPr>
          <w:rFonts w:ascii="Times New Roman" w:hAnsi="Times New Roman" w:cs="Times New Roman"/>
        </w:rPr>
        <w:t>lpp</w:t>
      </w:r>
      <w:proofErr w:type="spellEnd"/>
      <w:proofErr w:type="gramEnd"/>
      <w:r w:rsidRPr="00127254">
        <w:rPr>
          <w:rFonts w:ascii="Times New Roman" w:hAnsi="Times New Roman" w:cs="Times New Roman"/>
        </w:rPr>
        <w:t>.)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“</w:t>
      </w:r>
      <w:proofErr w:type="spellStart"/>
      <w:r w:rsidRPr="00127254">
        <w:rPr>
          <w:rFonts w:ascii="Times New Roman" w:hAnsi="Times New Roman" w:cs="Times New Roman"/>
        </w:rPr>
        <w:t>Mūsu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laikmetu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raksturo</w:t>
      </w:r>
      <w:proofErr w:type="spellEnd"/>
      <w:r w:rsidRPr="00127254">
        <w:rPr>
          <w:rFonts w:ascii="Times New Roman" w:hAnsi="Times New Roman" w:cs="Times New Roman"/>
        </w:rPr>
        <w:t xml:space="preserve"> divas </w:t>
      </w:r>
      <w:proofErr w:type="spellStart"/>
      <w:r w:rsidRPr="00127254">
        <w:rPr>
          <w:rFonts w:ascii="Times New Roman" w:hAnsi="Times New Roman" w:cs="Times New Roman"/>
        </w:rPr>
        <w:t>revolūcijas</w:t>
      </w:r>
      <w:proofErr w:type="spellEnd"/>
      <w:r w:rsidRPr="00127254">
        <w:rPr>
          <w:rFonts w:ascii="Times New Roman" w:hAnsi="Times New Roman" w:cs="Times New Roman"/>
        </w:rPr>
        <w:t xml:space="preserve">; </w:t>
      </w:r>
      <w:proofErr w:type="spellStart"/>
      <w:r w:rsidRPr="00127254">
        <w:rPr>
          <w:rFonts w:ascii="Times New Roman" w:hAnsi="Times New Roman" w:cs="Times New Roman"/>
        </w:rPr>
        <w:t>tās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notikušas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elektronikā</w:t>
      </w:r>
      <w:proofErr w:type="spellEnd"/>
      <w:r w:rsidRPr="00127254">
        <w:rPr>
          <w:rFonts w:ascii="Times New Roman" w:hAnsi="Times New Roman" w:cs="Times New Roman"/>
        </w:rPr>
        <w:t xml:space="preserve"> un </w:t>
      </w:r>
      <w:proofErr w:type="spellStart"/>
      <w:r w:rsidRPr="00127254">
        <w:rPr>
          <w:rFonts w:ascii="Times New Roman" w:hAnsi="Times New Roman" w:cs="Times New Roman"/>
        </w:rPr>
        <w:t>multietniskajās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attiecībās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Lai </w:t>
      </w:r>
      <w:proofErr w:type="spellStart"/>
      <w:r w:rsidRPr="00127254">
        <w:rPr>
          <w:rFonts w:ascii="Times New Roman" w:hAnsi="Times New Roman" w:cs="Times New Roman"/>
        </w:rPr>
        <w:t>izprastu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savu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laiku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nav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nepieciešams</w:t>
      </w:r>
      <w:proofErr w:type="spellEnd"/>
      <w:r w:rsidRPr="00127254">
        <w:rPr>
          <w:rFonts w:ascii="Times New Roman" w:hAnsi="Times New Roman" w:cs="Times New Roman"/>
        </w:rPr>
        <w:t xml:space="preserve"> just </w:t>
      </w:r>
      <w:proofErr w:type="spellStart"/>
      <w:r w:rsidRPr="00127254">
        <w:rPr>
          <w:rFonts w:ascii="Times New Roman" w:hAnsi="Times New Roman" w:cs="Times New Roman"/>
        </w:rPr>
        <w:t>patiku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pret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kādu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šīm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revolūcijām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tomēr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nav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izejas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mums </w:t>
      </w:r>
      <w:proofErr w:type="spellStart"/>
      <w:r w:rsidRPr="00127254">
        <w:rPr>
          <w:rFonts w:ascii="Times New Roman" w:hAnsi="Times New Roman" w:cs="Times New Roman"/>
        </w:rPr>
        <w:t>jāatzīst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7254">
        <w:rPr>
          <w:rFonts w:ascii="Times New Roman" w:hAnsi="Times New Roman" w:cs="Times New Roman"/>
        </w:rPr>
        <w:t>tās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vienas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parādības</w:t>
      </w:r>
      <w:proofErr w:type="spellEnd"/>
      <w:r w:rsidRPr="00127254">
        <w:rPr>
          <w:rFonts w:ascii="Times New Roman" w:hAnsi="Times New Roman" w:cs="Times New Roman"/>
        </w:rPr>
        <w:t xml:space="preserve"> divas </w:t>
      </w:r>
      <w:proofErr w:type="spellStart"/>
      <w:r w:rsidRPr="00127254">
        <w:rPr>
          <w:rFonts w:ascii="Times New Roman" w:hAnsi="Times New Roman" w:cs="Times New Roman"/>
        </w:rPr>
        <w:t>puses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citādi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mēs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iespējams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izjutīsim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abu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pretiedarbību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jau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pašā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sākotnē</w:t>
      </w:r>
      <w:proofErr w:type="spellEnd"/>
      <w:r w:rsidRPr="0012725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27254">
        <w:rPr>
          <w:rFonts w:ascii="Times New Roman" w:hAnsi="Times New Roman" w:cs="Times New Roman"/>
        </w:rPr>
        <w:t>Abas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revolūcijas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atspoguļo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viena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otru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Abas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izraisa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personiskās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identitātes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atsvešinātību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tradīcijām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gramStart"/>
      <w:r w:rsidRPr="00127254">
        <w:rPr>
          <w:rFonts w:ascii="Times New Roman" w:hAnsi="Times New Roman" w:cs="Times New Roman"/>
        </w:rPr>
        <w:t>un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saknēm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tātad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lieliem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saistītiem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tekstiem</w:t>
      </w:r>
      <w:proofErr w:type="spellEnd"/>
      <w:r w:rsidRPr="00127254">
        <w:rPr>
          <w:rFonts w:ascii="Times New Roman" w:hAnsi="Times New Roman" w:cs="Times New Roman"/>
        </w:rPr>
        <w:t xml:space="preserve">. </w:t>
      </w:r>
      <w:proofErr w:type="spellStart"/>
      <w:r w:rsidRPr="00127254">
        <w:rPr>
          <w:rFonts w:ascii="Times New Roman" w:hAnsi="Times New Roman" w:cs="Times New Roman"/>
        </w:rPr>
        <w:t>Kultūras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mozaīku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raksturo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multietnisko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sabiedrību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27254">
        <w:rPr>
          <w:rFonts w:ascii="Times New Roman" w:hAnsi="Times New Roman" w:cs="Times New Roman"/>
        </w:rPr>
        <w:t>kurā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atklājas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visi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iespējamie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sajaukumi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paradoksi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konflikti</w:t>
      </w:r>
      <w:proofErr w:type="spellEnd"/>
      <w:r w:rsidRPr="00127254">
        <w:rPr>
          <w:rFonts w:ascii="Times New Roman" w:hAnsi="Times New Roman" w:cs="Times New Roman"/>
        </w:rPr>
        <w:t xml:space="preserve"> un </w:t>
      </w:r>
      <w:proofErr w:type="spellStart"/>
      <w:r w:rsidRPr="00127254">
        <w:rPr>
          <w:rFonts w:ascii="Times New Roman" w:hAnsi="Times New Roman" w:cs="Times New Roman"/>
        </w:rPr>
        <w:t>saspringtās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attiecības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var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salīdzināt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fragmentāro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krāsaino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juceklīgo</w:t>
      </w:r>
      <w:proofErr w:type="spellEnd"/>
      <w:r w:rsidRPr="00127254">
        <w:rPr>
          <w:rFonts w:ascii="Times New Roman" w:hAnsi="Times New Roman" w:cs="Times New Roman"/>
        </w:rPr>
        <w:t xml:space="preserve"> un </w:t>
      </w:r>
      <w:proofErr w:type="spellStart"/>
      <w:r w:rsidRPr="00127254">
        <w:rPr>
          <w:rFonts w:ascii="Times New Roman" w:hAnsi="Times New Roman" w:cs="Times New Roman"/>
        </w:rPr>
        <w:t>nesaistīto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informācijas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plūsmu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starp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spilgti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atklājas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daudzkanālu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televīzijā</w:t>
      </w:r>
      <w:proofErr w:type="spellEnd"/>
      <w:r w:rsidRPr="00127254">
        <w:rPr>
          <w:rFonts w:ascii="Times New Roman" w:hAnsi="Times New Roman" w:cs="Times New Roman"/>
        </w:rPr>
        <w:t xml:space="preserve"> un </w:t>
      </w:r>
      <w:proofErr w:type="spellStart"/>
      <w:r w:rsidRPr="00127254">
        <w:rPr>
          <w:rFonts w:ascii="Times New Roman" w:hAnsi="Times New Roman" w:cs="Times New Roman"/>
        </w:rPr>
        <w:t>Internetā</w:t>
      </w:r>
      <w:proofErr w:type="spellEnd"/>
      <w:r w:rsidRPr="00127254">
        <w:rPr>
          <w:rFonts w:ascii="Times New Roman" w:hAnsi="Times New Roman" w:cs="Times New Roman"/>
        </w:rPr>
        <w:t xml:space="preserve">. </w:t>
      </w:r>
      <w:proofErr w:type="spellStart"/>
      <w:r w:rsidRPr="00127254">
        <w:rPr>
          <w:rFonts w:ascii="Times New Roman" w:hAnsi="Times New Roman" w:cs="Times New Roman"/>
        </w:rPr>
        <w:t>Abas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tendences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rada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plūstamību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kustību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gramStart"/>
      <w:r w:rsidRPr="00127254">
        <w:rPr>
          <w:rFonts w:ascii="Times New Roman" w:hAnsi="Times New Roman" w:cs="Times New Roman"/>
        </w:rPr>
        <w:t>un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nojauc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skaidras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robežas</w:t>
      </w:r>
      <w:proofErr w:type="spellEnd"/>
      <w:r w:rsidRPr="00127254">
        <w:rPr>
          <w:rFonts w:ascii="Times New Roman" w:hAnsi="Times New Roman" w:cs="Times New Roman"/>
        </w:rPr>
        <w:t xml:space="preserve">. </w:t>
      </w:r>
      <w:proofErr w:type="spellStart"/>
      <w:r w:rsidRPr="00127254">
        <w:rPr>
          <w:rFonts w:ascii="Times New Roman" w:hAnsi="Times New Roman" w:cs="Times New Roman"/>
        </w:rPr>
        <w:t>Tās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atrauj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kultūru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konkrētas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vietas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cilvēkus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gataviem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stāstiem</w:t>
      </w:r>
      <w:proofErr w:type="spellEnd"/>
      <w:r w:rsidRPr="00127254">
        <w:rPr>
          <w:rFonts w:ascii="Times New Roman" w:hAnsi="Times New Roman" w:cs="Times New Roman"/>
        </w:rPr>
        <w:t xml:space="preserve"> par to,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viņi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un par </w:t>
      </w:r>
      <w:proofErr w:type="spellStart"/>
      <w:r w:rsidRPr="00127254">
        <w:rPr>
          <w:rFonts w:ascii="Times New Roman" w:hAnsi="Times New Roman" w:cs="Times New Roman"/>
        </w:rPr>
        <w:t>ko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viņi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kļūt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darbu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darba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vietas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patērētāju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vecajām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labajām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precēm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izglītību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gataviem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modeļiem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zināšanas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standarta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priekšstata</w:t>
      </w:r>
      <w:proofErr w:type="spellEnd"/>
      <w:r w:rsidRPr="00127254">
        <w:rPr>
          <w:rFonts w:ascii="Times New Roman" w:hAnsi="Times New Roman" w:cs="Times New Roman"/>
        </w:rPr>
        <w:t xml:space="preserve"> par </w:t>
      </w:r>
      <w:proofErr w:type="spellStart"/>
      <w:r w:rsidRPr="00127254">
        <w:rPr>
          <w:rFonts w:ascii="Times New Roman" w:hAnsi="Times New Roman" w:cs="Times New Roman"/>
        </w:rPr>
        <w:t>tām</w:t>
      </w:r>
      <w:proofErr w:type="spellEnd"/>
      <w:r w:rsidRPr="00127254">
        <w:rPr>
          <w:rFonts w:ascii="Times New Roman" w:hAnsi="Times New Roman" w:cs="Times New Roman"/>
        </w:rPr>
        <w:t xml:space="preserve">... </w:t>
      </w:r>
      <w:proofErr w:type="spellStart"/>
      <w:r w:rsidRPr="00127254">
        <w:rPr>
          <w:rFonts w:ascii="Times New Roman" w:hAnsi="Times New Roman" w:cs="Times New Roman"/>
        </w:rPr>
        <w:t>Pagātne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veselums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kopsakars</w:t>
      </w:r>
      <w:proofErr w:type="spellEnd"/>
      <w:r w:rsidRPr="00127254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127254">
        <w:rPr>
          <w:rFonts w:ascii="Times New Roman" w:hAnsi="Times New Roman" w:cs="Times New Roman"/>
        </w:rPr>
        <w:t>tas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viss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kļūst</w:t>
      </w:r>
      <w:proofErr w:type="spellEnd"/>
      <w:r w:rsidRPr="00127254">
        <w:rPr>
          <w:rFonts w:ascii="Times New Roman" w:hAnsi="Times New Roman" w:cs="Times New Roman"/>
        </w:rPr>
        <w:t xml:space="preserve"> par </w:t>
      </w:r>
      <w:proofErr w:type="spellStart"/>
      <w:r w:rsidRPr="00127254">
        <w:rPr>
          <w:rFonts w:ascii="Times New Roman" w:hAnsi="Times New Roman" w:cs="Times New Roman"/>
        </w:rPr>
        <w:t>apšaubāmiem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lielumiem</w:t>
      </w:r>
      <w:proofErr w:type="spellEnd"/>
      <w:r w:rsidRPr="00127254">
        <w:rPr>
          <w:rFonts w:ascii="Times New Roman" w:hAnsi="Times New Roman" w:cs="Times New Roman"/>
        </w:rPr>
        <w:t>.</w:t>
      </w:r>
      <w:r w:rsidRPr="00127254">
        <w:rPr>
          <w:rFonts w:ascii="Times New Roman" w:hAnsi="Times New Roman" w:cs="Times New Roman"/>
        </w:rPr>
        <w:br/>
      </w:r>
      <w:proofErr w:type="spellStart"/>
      <w:proofErr w:type="gramStart"/>
      <w:r w:rsidRPr="00127254">
        <w:rPr>
          <w:rFonts w:ascii="Times New Roman" w:hAnsi="Times New Roman" w:cs="Times New Roman"/>
        </w:rPr>
        <w:t>Jaunas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pretrunas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spēji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parādās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informācijas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sabiedrībā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var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izteikt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lastRenderedPageBreak/>
        <w:t>šādā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tēlojumā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Labās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puses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slejas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protams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ņem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virsroku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kreisās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puses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sleja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atspoguļo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atbildes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reakciju</w:t>
      </w:r>
      <w:proofErr w:type="spellEnd"/>
      <w:r w:rsidRPr="00127254">
        <w:rPr>
          <w:rFonts w:ascii="Times New Roman" w:hAnsi="Times New Roman" w:cs="Times New Roman"/>
        </w:rPr>
        <w:t>:</w:t>
      </w:r>
    </w:p>
    <w:p w:rsidR="00127254" w:rsidRDefault="00127254" w:rsidP="00127254">
      <w:pPr>
        <w:ind w:firstLine="720"/>
        <w:jc w:val="center"/>
        <w:rPr>
          <w:rFonts w:ascii="Times New Roman" w:hAnsi="Times New Roman" w:cs="Times New Roman"/>
        </w:rPr>
      </w:pP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labi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zināmais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jaunais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pārliecība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brīvība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komunitārisms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liberālisms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kopība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indivīds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nemainība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mainība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tradīcija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impulss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fundamentālisms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ambivalence,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pagātne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nākotne</w:t>
      </w:r>
      <w:proofErr w:type="spellEnd"/>
      <w:r w:rsidRPr="00127254">
        <w:rPr>
          <w:rFonts w:ascii="Times New Roman" w:hAnsi="Times New Roman" w:cs="Times New Roman"/>
        </w:rPr>
        <w:t>,</w:t>
      </w:r>
      <w:r w:rsidRPr="00127254">
        <w:rPr>
          <w:rFonts w:ascii="Times New Roman" w:hAnsi="Times New Roman" w:cs="Times New Roman"/>
        </w:rPr>
        <w:br/>
      </w:r>
      <w:proofErr w:type="spellStart"/>
      <w:r w:rsidRPr="00127254">
        <w:rPr>
          <w:rFonts w:ascii="Times New Roman" w:hAnsi="Times New Roman" w:cs="Times New Roman"/>
        </w:rPr>
        <w:t>stabilitāte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r w:rsidR="00570F4D">
        <w:rPr>
          <w:rFonts w:ascii="Times New Roman" w:hAnsi="Times New Roman" w:cs="Times New Roman"/>
        </w:rPr>
        <w:t>–</w:t>
      </w:r>
      <w:proofErr w:type="spellStart"/>
      <w:r w:rsidRPr="00127254">
        <w:rPr>
          <w:rFonts w:ascii="Times New Roman" w:hAnsi="Times New Roman" w:cs="Times New Roman"/>
        </w:rPr>
        <w:t>pārmaiņas</w:t>
      </w:r>
      <w:proofErr w:type="spellEnd"/>
      <w:r w:rsidRPr="00127254">
        <w:rPr>
          <w:rFonts w:ascii="Times New Roman" w:hAnsi="Times New Roman" w:cs="Times New Roman"/>
        </w:rPr>
        <w:t>.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27254">
        <w:rPr>
          <w:rFonts w:ascii="Times New Roman" w:hAnsi="Times New Roman" w:cs="Times New Roman"/>
        </w:rPr>
        <w:t xml:space="preserve">(46. </w:t>
      </w:r>
      <w:r w:rsidR="00570F4D">
        <w:rPr>
          <w:rFonts w:ascii="Times New Roman" w:hAnsi="Times New Roman" w:cs="Times New Roman"/>
        </w:rPr>
        <w:t>–</w:t>
      </w:r>
      <w:r w:rsidRPr="00127254">
        <w:rPr>
          <w:rFonts w:ascii="Times New Roman" w:hAnsi="Times New Roman" w:cs="Times New Roman"/>
        </w:rPr>
        <w:t xml:space="preserve">47. </w:t>
      </w:r>
      <w:proofErr w:type="spellStart"/>
      <w:r w:rsidRPr="00127254">
        <w:rPr>
          <w:rFonts w:ascii="Times New Roman" w:hAnsi="Times New Roman" w:cs="Times New Roman"/>
        </w:rPr>
        <w:t>lpp</w:t>
      </w:r>
      <w:proofErr w:type="spellEnd"/>
      <w:r w:rsidRPr="00127254">
        <w:rPr>
          <w:rFonts w:ascii="Times New Roman" w:hAnsi="Times New Roman" w:cs="Times New Roman"/>
        </w:rPr>
        <w:t>.)</w:t>
      </w:r>
      <w:proofErr w:type="gramEnd"/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“</w:t>
      </w:r>
      <w:proofErr w:type="spellStart"/>
      <w:r w:rsidRPr="00127254">
        <w:rPr>
          <w:rFonts w:ascii="Times New Roman" w:hAnsi="Times New Roman" w:cs="Times New Roman"/>
        </w:rPr>
        <w:t>Pulksteni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izgudroja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lai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nenokavētu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lūgšanas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Kāpēc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7254">
        <w:rPr>
          <w:rFonts w:ascii="Times New Roman" w:hAnsi="Times New Roman" w:cs="Times New Roman"/>
        </w:rPr>
        <w:t>tas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vajadzīgs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tagad</w:t>
      </w:r>
      <w:proofErr w:type="spellEnd"/>
      <w:r w:rsidRPr="00127254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Pr="00127254">
        <w:rPr>
          <w:rFonts w:ascii="Times New Roman" w:hAnsi="Times New Roman" w:cs="Times New Roman"/>
        </w:rPr>
        <w:t>Pulksteņi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vispirms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parādījās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Eiropas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viduslaikos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lai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mūkiem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atgādinātu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lūgšanas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sākumu</w:t>
      </w:r>
      <w:proofErr w:type="spellEnd"/>
      <w:r w:rsidRPr="00127254">
        <w:rPr>
          <w:rFonts w:ascii="Times New Roman" w:hAnsi="Times New Roman" w:cs="Times New Roman"/>
        </w:rPr>
        <w:t>.</w:t>
      </w:r>
      <w:proofErr w:type="gramEnd"/>
      <w:r w:rsidRPr="00127254">
        <w:rPr>
          <w:rFonts w:ascii="Times New Roman" w:hAnsi="Times New Roman" w:cs="Times New Roman"/>
        </w:rPr>
        <w:t xml:space="preserve"> [..] </w:t>
      </w:r>
      <w:proofErr w:type="spellStart"/>
      <w:r w:rsidRPr="00127254">
        <w:rPr>
          <w:rFonts w:ascii="Times New Roman" w:hAnsi="Times New Roman" w:cs="Times New Roman"/>
        </w:rPr>
        <w:t>Līdzās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sākotnējai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reliģiskai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funkcijai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pulksteni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drīz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vien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sāka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pielietot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citās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jomās</w:t>
      </w:r>
      <w:proofErr w:type="spellEnd"/>
      <w:r w:rsidRPr="00127254">
        <w:rPr>
          <w:rFonts w:ascii="Times New Roman" w:hAnsi="Times New Roman" w:cs="Times New Roman"/>
        </w:rPr>
        <w:t xml:space="preserve">: ne </w:t>
      </w:r>
      <w:proofErr w:type="spellStart"/>
      <w:r w:rsidRPr="00127254">
        <w:rPr>
          <w:rFonts w:ascii="Times New Roman" w:hAnsi="Times New Roman" w:cs="Times New Roman"/>
        </w:rPr>
        <w:t>tikai</w:t>
      </w:r>
      <w:proofErr w:type="spellEnd"/>
      <w:r w:rsidRPr="00127254">
        <w:rPr>
          <w:rFonts w:ascii="Times New Roman" w:hAnsi="Times New Roman" w:cs="Times New Roman"/>
        </w:rPr>
        <w:t xml:space="preserve"> tam, </w:t>
      </w:r>
      <w:proofErr w:type="spellStart"/>
      <w:r w:rsidRPr="00127254">
        <w:rPr>
          <w:rFonts w:ascii="Times New Roman" w:hAnsi="Times New Roman" w:cs="Times New Roman"/>
        </w:rPr>
        <w:t>lai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saaicinātu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mūkus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uz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lūgšanu</w:t>
      </w:r>
      <w:proofErr w:type="spellEnd"/>
      <w:r w:rsidRPr="00127254">
        <w:rPr>
          <w:rFonts w:ascii="Times New Roman" w:hAnsi="Times New Roman" w:cs="Times New Roman"/>
        </w:rPr>
        <w:t xml:space="preserve">, bet </w:t>
      </w:r>
      <w:proofErr w:type="spellStart"/>
      <w:r w:rsidRPr="00127254">
        <w:rPr>
          <w:rFonts w:ascii="Times New Roman" w:hAnsi="Times New Roman" w:cs="Times New Roman"/>
        </w:rPr>
        <w:t>arī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sakārtotu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citas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aktivitātes</w:t>
      </w:r>
      <w:proofErr w:type="spellEnd"/>
      <w:r w:rsidRPr="00127254">
        <w:rPr>
          <w:rFonts w:ascii="Times New Roman" w:hAnsi="Times New Roman" w:cs="Times New Roman"/>
        </w:rPr>
        <w:t xml:space="preserve">. [..] </w:t>
      </w:r>
    </w:p>
    <w:p w:rsidR="00127254" w:rsidRDefault="00127254" w:rsidP="00127254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27254">
        <w:rPr>
          <w:rFonts w:ascii="Times New Roman" w:hAnsi="Times New Roman" w:cs="Times New Roman"/>
        </w:rPr>
        <w:t>Pulkstenis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padara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laiku</w:t>
      </w:r>
      <w:proofErr w:type="spellEnd"/>
      <w:r w:rsidRPr="00127254">
        <w:rPr>
          <w:rFonts w:ascii="Times New Roman" w:hAnsi="Times New Roman" w:cs="Times New Roman"/>
        </w:rPr>
        <w:t xml:space="preserve"> par </w:t>
      </w:r>
      <w:proofErr w:type="spellStart"/>
      <w:r w:rsidRPr="00127254">
        <w:rPr>
          <w:rFonts w:ascii="Times New Roman" w:hAnsi="Times New Roman" w:cs="Times New Roman"/>
        </w:rPr>
        <w:t>kaut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7254">
        <w:rPr>
          <w:rFonts w:ascii="Times New Roman" w:hAnsi="Times New Roman" w:cs="Times New Roman"/>
        </w:rPr>
        <w:t>ko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patstāvīgu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ko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tādu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nav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atkarīgs</w:t>
      </w:r>
      <w:proofErr w:type="spellEnd"/>
      <w:r w:rsidRPr="00127254">
        <w:rPr>
          <w:rFonts w:ascii="Times New Roman" w:hAnsi="Times New Roman" w:cs="Times New Roman"/>
        </w:rPr>
        <w:t xml:space="preserve"> no </w:t>
      </w:r>
      <w:proofErr w:type="spellStart"/>
      <w:r w:rsidRPr="00127254">
        <w:rPr>
          <w:rFonts w:ascii="Times New Roman" w:hAnsi="Times New Roman" w:cs="Times New Roman"/>
        </w:rPr>
        <w:t>notikumiem</w:t>
      </w:r>
      <w:proofErr w:type="spellEnd"/>
      <w:r w:rsidRPr="001272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Viena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stunda</w:t>
      </w:r>
      <w:proofErr w:type="spellEnd"/>
      <w:r>
        <w:rPr>
          <w:rFonts w:ascii="Times New Roman" w:hAnsi="Times New Roman" w:cs="Times New Roman"/>
        </w:rPr>
        <w:t xml:space="preserve">” </w:t>
      </w:r>
      <w:r w:rsidRPr="00127254">
        <w:rPr>
          <w:rFonts w:ascii="Times New Roman" w:hAnsi="Times New Roman" w:cs="Times New Roman"/>
        </w:rPr>
        <w:t>(</w:t>
      </w:r>
      <w:proofErr w:type="spellStart"/>
      <w:r w:rsidRPr="00127254">
        <w:rPr>
          <w:rFonts w:ascii="Times New Roman" w:hAnsi="Times New Roman" w:cs="Times New Roman"/>
        </w:rPr>
        <w:t>mūsu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izpratnē</w:t>
      </w:r>
      <w:proofErr w:type="spellEnd"/>
      <w:r w:rsidRPr="00127254">
        <w:rPr>
          <w:rFonts w:ascii="Times New Roman" w:hAnsi="Times New Roman" w:cs="Times New Roman"/>
        </w:rPr>
        <w:t xml:space="preserve">)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kaut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kas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abstrakts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tā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ir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tukša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vienība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r w:rsidRPr="00127254">
        <w:rPr>
          <w:rFonts w:ascii="Times New Roman" w:hAnsi="Times New Roman" w:cs="Times New Roman"/>
        </w:rPr>
        <w:t>kuru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aizpildīt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ar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nezin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7254">
        <w:rPr>
          <w:rFonts w:ascii="Times New Roman" w:hAnsi="Times New Roman" w:cs="Times New Roman"/>
        </w:rPr>
        <w:t>ko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. [..] </w:t>
      </w:r>
      <w:proofErr w:type="spellStart"/>
      <w:r w:rsidRPr="00127254">
        <w:rPr>
          <w:rFonts w:ascii="Times New Roman" w:hAnsi="Times New Roman" w:cs="Times New Roman"/>
        </w:rPr>
        <w:t>Piedzimdami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mēs</w:t>
      </w:r>
      <w:proofErr w:type="spellEnd"/>
      <w:r w:rsidRPr="00127254">
        <w:rPr>
          <w:rFonts w:ascii="Times New Roman" w:hAnsi="Times New Roman" w:cs="Times New Roman"/>
        </w:rPr>
        <w:t xml:space="preserve"> it </w:t>
      </w:r>
      <w:proofErr w:type="spellStart"/>
      <w:r w:rsidRPr="00127254">
        <w:rPr>
          <w:rFonts w:ascii="Times New Roman" w:hAnsi="Times New Roman" w:cs="Times New Roman"/>
        </w:rPr>
        <w:t>kā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parakstām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līgumu</w:t>
      </w:r>
      <w:proofErr w:type="spellEnd"/>
      <w:r w:rsidRPr="0012725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27254">
        <w:rPr>
          <w:rFonts w:ascii="Times New Roman" w:hAnsi="Times New Roman" w:cs="Times New Roman"/>
        </w:rPr>
        <w:t>kurā</w:t>
      </w:r>
      <w:proofErr w:type="spellEnd"/>
      <w:proofErr w:type="gram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visu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mūžu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solāmies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būt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 w:rsidRPr="00127254">
        <w:rPr>
          <w:rFonts w:ascii="Times New Roman" w:hAnsi="Times New Roman" w:cs="Times New Roman"/>
        </w:rPr>
        <w:t>uzticīgi</w:t>
      </w:r>
      <w:proofErr w:type="spellEnd"/>
      <w:r w:rsidRPr="0012725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pulksteņa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kalendāra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laikam</w:t>
      </w:r>
      <w:proofErr w:type="spellEnd"/>
      <w:r>
        <w:rPr>
          <w:rFonts w:ascii="Times New Roman" w:hAnsi="Times New Roman" w:cs="Times New Roman"/>
        </w:rPr>
        <w:t>.”</w:t>
      </w:r>
    </w:p>
    <w:p w:rsidR="006D50B2" w:rsidRPr="00127254" w:rsidRDefault="00570F4D" w:rsidP="00127254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(58.</w:t>
      </w:r>
      <w:r w:rsidRPr="00570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127254" w:rsidRPr="00127254">
        <w:rPr>
          <w:rFonts w:ascii="Times New Roman" w:hAnsi="Times New Roman" w:cs="Times New Roman"/>
        </w:rPr>
        <w:t xml:space="preserve">59. </w:t>
      </w:r>
      <w:proofErr w:type="spellStart"/>
      <w:r w:rsidR="00127254" w:rsidRPr="00127254">
        <w:rPr>
          <w:rFonts w:ascii="Times New Roman" w:hAnsi="Times New Roman" w:cs="Times New Roman"/>
        </w:rPr>
        <w:t>lpp</w:t>
      </w:r>
      <w:proofErr w:type="spellEnd"/>
      <w:r w:rsidR="00127254" w:rsidRPr="00127254">
        <w:rPr>
          <w:rFonts w:ascii="Times New Roman" w:hAnsi="Times New Roman" w:cs="Times New Roman"/>
        </w:rPr>
        <w:t>.)</w:t>
      </w:r>
      <w:proofErr w:type="gramEnd"/>
    </w:p>
    <w:sectPr w:rsidR="006D50B2" w:rsidRPr="00127254" w:rsidSect="006D5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804E3D"/>
    <w:multiLevelType w:val="multilevel"/>
    <w:tmpl w:val="6F1E52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7254"/>
    <w:rsid w:val="00025ECF"/>
    <w:rsid w:val="00127254"/>
    <w:rsid w:val="00147B83"/>
    <w:rsid w:val="00570F4D"/>
    <w:rsid w:val="006D50B2"/>
    <w:rsid w:val="0070593D"/>
    <w:rsid w:val="008D0B03"/>
    <w:rsid w:val="00B41173"/>
    <w:rsid w:val="00BF5DFB"/>
    <w:rsid w:val="00DF3A31"/>
    <w:rsid w:val="00FA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54"/>
  </w:style>
  <w:style w:type="paragraph" w:styleId="Heading1">
    <w:name w:val="heading 1"/>
    <w:basedOn w:val="Normal"/>
    <w:next w:val="BodyText"/>
    <w:link w:val="Heading1Char"/>
    <w:qFormat/>
    <w:rsid w:val="008D0B03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2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D0B03"/>
    <w:rPr>
      <w:rFonts w:ascii="Times New Roman" w:eastAsia="Times New Roman" w:hAnsi="Times New Roman" w:cs="Times New Roman"/>
      <w:b/>
      <w:bCs/>
      <w:kern w:val="2"/>
      <w:sz w:val="48"/>
      <w:szCs w:val="48"/>
      <w:lang w:val="lv-LV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B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F6E3-A413-4D70-8B4C-27712E09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2011-05-29T08:48:00Z</dcterms:created>
  <dcterms:modified xsi:type="dcterms:W3CDTF">2012-03-23T10:00:00Z</dcterms:modified>
</cp:coreProperties>
</file>